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56DFB" w14:textId="77777777" w:rsidR="00801ACA" w:rsidRPr="00DD0702" w:rsidRDefault="00801ACA" w:rsidP="00801AC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8379583"/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DB9096D" w14:textId="77777777" w:rsidR="00801ACA" w:rsidRPr="00DD0702" w:rsidRDefault="00801ACA" w:rsidP="00801ACA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14:paraId="6EAB933B" w14:textId="77777777" w:rsidR="00801ACA" w:rsidRPr="00DD0702" w:rsidRDefault="00801ACA" w:rsidP="00801ACA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с углубленным изучением обществознания и экономики»</w:t>
      </w:r>
    </w:p>
    <w:p w14:paraId="473C295B" w14:textId="77777777" w:rsidR="00801ACA" w:rsidRPr="00DD0702" w:rsidRDefault="00801ACA" w:rsidP="00801AC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4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801ACA" w:rsidRPr="00DD0702" w14:paraId="0280C10D" w14:textId="77777777" w:rsidTr="00032645">
        <w:trPr>
          <w:trHeight w:val="1702"/>
          <w:jc w:val="center"/>
        </w:trPr>
        <w:tc>
          <w:tcPr>
            <w:tcW w:w="4688" w:type="dxa"/>
          </w:tcPr>
          <w:p w14:paraId="6A0B69B0" w14:textId="77777777" w:rsidR="00801ACA" w:rsidRPr="00DD0702" w:rsidRDefault="00801ACA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52E278C7" w14:textId="77777777" w:rsidR="00801ACA" w:rsidRPr="00DD0702" w:rsidRDefault="00801ACA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55403D16" w14:textId="77777777" w:rsidR="00801ACA" w:rsidRPr="00DD0702" w:rsidRDefault="00801ACA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Pr="00DD0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30.08.2023 № 1</w:t>
            </w:r>
          </w:p>
          <w:p w14:paraId="1C746A2F" w14:textId="77777777" w:rsidR="00801ACA" w:rsidRPr="00DD0702" w:rsidRDefault="00801ACA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391A43D9" w14:textId="77777777" w:rsidR="00801ACA" w:rsidRPr="00DD0702" w:rsidRDefault="00801ACA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3FA9AD34" w14:textId="77777777" w:rsidR="00801ACA" w:rsidRPr="00DD0702" w:rsidRDefault="00801ACA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приказом директора</w:t>
            </w:r>
          </w:p>
          <w:p w14:paraId="6B6687C5" w14:textId="77777777" w:rsidR="00801ACA" w:rsidRPr="00DD0702" w:rsidRDefault="00801ACA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Pr="00DD0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30.08.2023 № 163</w:t>
            </w:r>
          </w:p>
          <w:p w14:paraId="57736F46" w14:textId="77777777" w:rsidR="00801ACA" w:rsidRPr="00DD0702" w:rsidRDefault="00801ACA" w:rsidP="0003264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7AC36D" w14:textId="77777777" w:rsidR="00801ACA" w:rsidRPr="00DD0702" w:rsidRDefault="00801ACA" w:rsidP="00801AC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0A7ECD1" w14:textId="77777777" w:rsidR="00801ACA" w:rsidRPr="00DD0702" w:rsidRDefault="00801ACA" w:rsidP="00801A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4CB97" w14:textId="77777777" w:rsidR="00801ACA" w:rsidRDefault="00801ACA" w:rsidP="00801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ПРЕДМЕТУ </w:t>
      </w:r>
    </w:p>
    <w:p w14:paraId="35734C81" w14:textId="77777777" w:rsidR="00801ACA" w:rsidRPr="00DD0702" w:rsidRDefault="00801ACA" w:rsidP="00801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Основы социальной жизни</w:t>
      </w: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234AB2E1" w14:textId="77777777" w:rsidR="00801ACA" w:rsidRPr="00DD0702" w:rsidRDefault="00801ACA" w:rsidP="00801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14:paraId="03BD1631" w14:textId="20EBCE72" w:rsidR="00801ACA" w:rsidRPr="00DD0702" w:rsidRDefault="00801ACA" w:rsidP="00801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14:paraId="08090EFA" w14:textId="77777777" w:rsidR="00801ACA" w:rsidRPr="00DD0702" w:rsidRDefault="00801ACA" w:rsidP="00801AC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9030A2" w14:textId="77777777" w:rsidR="00801ACA" w:rsidRPr="00DD0702" w:rsidRDefault="00801ACA" w:rsidP="00801A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5CA6B04F" w14:textId="77777777" w:rsidR="00801ACA" w:rsidRPr="00DD0702" w:rsidRDefault="00801ACA" w:rsidP="00801A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6B167" w14:textId="77777777" w:rsidR="00801ACA" w:rsidRPr="00DD0702" w:rsidRDefault="00801ACA" w:rsidP="00801A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062B5" w14:textId="77777777" w:rsidR="00801ACA" w:rsidRDefault="00801ACA" w:rsidP="00801ACA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44278CA1" w14:textId="77777777" w:rsidR="00801ACA" w:rsidRDefault="00801ACA" w:rsidP="00801ACA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3C4AC2EC" w14:textId="77777777" w:rsidR="00801ACA" w:rsidRDefault="00801ACA" w:rsidP="00801ACA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1B24A7AF" w14:textId="77777777" w:rsidR="00801ACA" w:rsidRDefault="00801ACA" w:rsidP="00801ACA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6841B725" w14:textId="77777777" w:rsidR="00801ACA" w:rsidRPr="00DD0702" w:rsidRDefault="00801ACA" w:rsidP="00801ACA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3C1BE6BA" w14:textId="77777777" w:rsidR="00801ACA" w:rsidRPr="00DD0702" w:rsidRDefault="00801ACA" w:rsidP="00801A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156F30B6" w14:textId="77777777" w:rsidR="00801ACA" w:rsidRDefault="00801ACA" w:rsidP="00801A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2023</w:t>
      </w:r>
    </w:p>
    <w:bookmarkEnd w:id="0"/>
    <w:p w14:paraId="48568DD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bookmarkEnd w:id="3"/>
    <w:p w14:paraId="5159A433" w14:textId="77777777" w:rsidR="00801ACA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составлена на основе</w:t>
      </w:r>
      <w:r w:rsidR="00801ACA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4FE89D27" w14:textId="6471A06F" w:rsidR="008B2190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72FC5E1" w14:textId="77777777" w:rsidR="00801ACA" w:rsidRPr="009910CA" w:rsidRDefault="00801ACA" w:rsidP="00801A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_Hlk148379475"/>
      <w:r w:rsidRPr="009910CA">
        <w:rPr>
          <w:rFonts w:ascii="Times New Roman" w:eastAsia="Times New Roman" w:hAnsi="Times New Roman" w:cs="Times New Roman"/>
          <w:color w:val="000000"/>
          <w:sz w:val="28"/>
          <w:szCs w:val="24"/>
        </w:rPr>
        <w:t>Адаптированной основной общеобразовательной программы 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общеобразовательная школа №34 с углубленным изучением предметов» г. Великого Новгорода, рассмотренной на заседании педагогического совета протокол №1 от 30.08.2023, утвержденной приказом директора от 30.08.2023 №163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_Hlk144582863"/>
      <w:bookmarkStart w:id="6" w:name="_GoBack"/>
      <w:bookmarkEnd w:id="4"/>
      <w:bookmarkEnd w:id="6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5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143690870"/>
      <w:bookmarkStart w:id="8" w:name="_Toc144217405"/>
      <w:bookmarkStart w:id="9" w:name="_Hlk143875710"/>
      <w:bookmarkStart w:id="10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7"/>
      <w:bookmarkEnd w:id="8"/>
    </w:p>
    <w:bookmarkEnd w:id="9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Большое значение имеют разделы, направленные на получение практических навыков по приготовлению простых и знакомых блюд,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>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1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2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3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4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7407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72C5B440" w14:textId="77777777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14:paraId="25A0E55A" w14:textId="7EE1B0F8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723BD9F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673BF103" w14:textId="77777777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199FB6D" w14:textId="7D1BFB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3E9B9542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019B" w14:textId="77777777" w:rsidR="00DE4321" w:rsidRDefault="00DE4321" w:rsidP="00644073">
      <w:pPr>
        <w:spacing w:after="0" w:line="240" w:lineRule="auto"/>
      </w:pPr>
      <w:r>
        <w:separator/>
      </w:r>
    </w:p>
  </w:endnote>
  <w:endnote w:type="continuationSeparator" w:id="0">
    <w:p w14:paraId="4FDDE770" w14:textId="77777777" w:rsidR="00DE4321" w:rsidRDefault="00DE432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567651"/>
      <w:docPartObj>
        <w:docPartGallery w:val="Page Numbers (Bottom of Page)"/>
        <w:docPartUnique/>
      </w:docPartObj>
    </w:sdtPr>
    <w:sdtEndPr/>
    <w:sdtContent>
      <w:p w14:paraId="303D6C0D" w14:textId="40BA3AF3"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0BCBA" w14:textId="77777777"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2769" w14:textId="77777777" w:rsidR="00DE4321" w:rsidRDefault="00DE4321" w:rsidP="00644073">
      <w:pPr>
        <w:spacing w:after="0" w:line="240" w:lineRule="auto"/>
      </w:pPr>
      <w:r>
        <w:separator/>
      </w:r>
    </w:p>
  </w:footnote>
  <w:footnote w:type="continuationSeparator" w:id="0">
    <w:p w14:paraId="03E55DB0" w14:textId="77777777" w:rsidR="00DE4321" w:rsidRDefault="00DE432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1ACA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  <w:style w:type="table" w:customStyle="1" w:styleId="14">
    <w:name w:val="Сетка таблицы1"/>
    <w:basedOn w:val="a1"/>
    <w:next w:val="a7"/>
    <w:uiPriority w:val="59"/>
    <w:rsid w:val="0080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18A7-3DA0-4EC3-AFBB-E3B32A3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41</Pages>
  <Words>11415</Words>
  <Characters>65071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Energy Center</cp:lastModifiedBy>
  <cp:revision>11</cp:revision>
  <dcterms:created xsi:type="dcterms:W3CDTF">2023-09-02T18:32:00Z</dcterms:created>
  <dcterms:modified xsi:type="dcterms:W3CDTF">2023-10-16T17:18:00Z</dcterms:modified>
</cp:coreProperties>
</file>